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A6C9" w14:textId="77777777" w:rsidR="007A5AEC" w:rsidRDefault="007A5AEC" w:rsidP="007A5AEC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28"/>
          <w:szCs w:val="28"/>
        </w:rPr>
      </w:pPr>
      <w:r>
        <w:rPr>
          <w:rFonts w:ascii="DenkOne-Regular" w:hAnsi="DenkOne-Regular" w:cs="DenkOne-Regular"/>
          <w:noProof/>
          <w:color w:val="F29108"/>
          <w:sz w:val="28"/>
          <w:szCs w:val="28"/>
        </w:rPr>
        <w:drawing>
          <wp:inline distT="0" distB="0" distL="0" distR="0" wp14:anchorId="262E5D15" wp14:editId="5BB5C163">
            <wp:extent cx="3428577" cy="199374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737" cy="199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56D2" w14:textId="77777777" w:rsidR="007A5AEC" w:rsidRDefault="007A5AEC" w:rsidP="007A5AEC">
      <w:pPr>
        <w:widowControl w:val="0"/>
        <w:autoSpaceDE w:val="0"/>
        <w:autoSpaceDN w:val="0"/>
        <w:adjustRightInd w:val="0"/>
        <w:rPr>
          <w:rFonts w:ascii="DenkOne-Regular" w:hAnsi="DenkOne-Regular" w:cs="DenkOne-Regular"/>
          <w:color w:val="F29108"/>
          <w:sz w:val="28"/>
          <w:szCs w:val="28"/>
        </w:rPr>
      </w:pPr>
    </w:p>
    <w:p w14:paraId="36097C0C" w14:textId="77777777" w:rsidR="007A5AEC" w:rsidRDefault="007A5AEC" w:rsidP="009B5CEE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28"/>
          <w:szCs w:val="28"/>
        </w:rPr>
      </w:pPr>
    </w:p>
    <w:p w14:paraId="24E8B652" w14:textId="77777777" w:rsidR="009B5CEE" w:rsidRDefault="009B5CEE" w:rsidP="009B5CEE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40"/>
          <w:szCs w:val="40"/>
        </w:rPr>
      </w:pPr>
      <w:r w:rsidRPr="007A5AEC">
        <w:rPr>
          <w:rFonts w:ascii="DenkOne-Regular" w:hAnsi="DenkOne-Regular" w:cs="DenkOne-Regular"/>
          <w:color w:val="F29108"/>
          <w:sz w:val="40"/>
          <w:szCs w:val="40"/>
        </w:rPr>
        <w:t>Cos’è</w:t>
      </w:r>
    </w:p>
    <w:p w14:paraId="0EA73917" w14:textId="77777777" w:rsidR="007A5AEC" w:rsidRPr="007A5AEC" w:rsidRDefault="007A5AEC" w:rsidP="009B5CEE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40"/>
          <w:szCs w:val="40"/>
        </w:rPr>
      </w:pPr>
    </w:p>
    <w:p w14:paraId="4045DDE7" w14:textId="77777777" w:rsidR="009B5CEE" w:rsidRPr="007A5AEC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PIN è la </w:t>
      </w:r>
      <w:proofErr w:type="gramStart"/>
      <w:r w:rsidRPr="007A5AEC">
        <w:rPr>
          <w:rFonts w:ascii="OpenSans" w:hAnsi="OpenSans" w:cs="OpenSans"/>
          <w:color w:val="313132"/>
          <w:sz w:val="28"/>
          <w:szCs w:val="28"/>
        </w:rPr>
        <w:t>nuova iniziativa</w:t>
      </w:r>
      <w:proofErr w:type="gram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delle Politiche Giovanili della Regione Puglia rivolta ai giovani e alle giovani che intendono realizzare progetti a vocazione imprenditoriale, ad alto potenziale di sviluppo locale, negli ambiti dell'innovazione culturale, innovazione tecnologica e innovazione sociale.</w:t>
      </w:r>
    </w:p>
    <w:p w14:paraId="535EC9BF" w14:textId="77777777" w:rsidR="009E2C2D" w:rsidRPr="007A5AEC" w:rsidRDefault="009B5CEE" w:rsidP="009B5CEE">
      <w:pPr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La misura è rivolta a gruppi informali di almeno due giovani residenti in Puglia, di età compresa tra i </w:t>
      </w:r>
      <w:proofErr w:type="gramStart"/>
      <w:r w:rsidRPr="007A5AEC">
        <w:rPr>
          <w:rFonts w:ascii="OpenSans" w:hAnsi="OpenSans" w:cs="OpenSans"/>
          <w:color w:val="313132"/>
          <w:sz w:val="28"/>
          <w:szCs w:val="28"/>
        </w:rPr>
        <w:t>18</w:t>
      </w:r>
      <w:proofErr w:type="gram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e i 35 anni, che hanno un'idea imprenditoriale innovativa e vogliono svilupparla.</w:t>
      </w:r>
    </w:p>
    <w:p w14:paraId="766E94A0" w14:textId="77777777" w:rsidR="009B5CEE" w:rsidRPr="007A5AEC" w:rsidRDefault="009B5CEE" w:rsidP="009B5CEE">
      <w:pPr>
        <w:jc w:val="both"/>
        <w:rPr>
          <w:rFonts w:ascii="OpenSans" w:hAnsi="OpenSans" w:cs="OpenSans"/>
          <w:color w:val="313132"/>
          <w:sz w:val="28"/>
          <w:szCs w:val="28"/>
        </w:rPr>
      </w:pPr>
    </w:p>
    <w:p w14:paraId="0B48C214" w14:textId="77777777" w:rsidR="009B5CEE" w:rsidRDefault="009B5CEE" w:rsidP="009B5CEE">
      <w:pPr>
        <w:rPr>
          <w:rFonts w:ascii="OpenSans" w:hAnsi="OpenSans" w:cs="OpenSans"/>
          <w:color w:val="313132"/>
          <w:sz w:val="32"/>
          <w:szCs w:val="32"/>
        </w:rPr>
      </w:pPr>
    </w:p>
    <w:p w14:paraId="014A27CD" w14:textId="77777777" w:rsidR="009B5CEE" w:rsidRPr="007A5AEC" w:rsidRDefault="009B5CEE" w:rsidP="009B5CEE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36"/>
          <w:szCs w:val="36"/>
        </w:rPr>
      </w:pPr>
      <w:r w:rsidRPr="007A5AEC">
        <w:rPr>
          <w:rFonts w:ascii="DenkOne-Regular" w:hAnsi="DenkOne-Regular" w:cs="DenkOne-Regular"/>
          <w:color w:val="F29108"/>
          <w:sz w:val="36"/>
          <w:szCs w:val="36"/>
        </w:rPr>
        <w:t>Come funziona</w:t>
      </w:r>
    </w:p>
    <w:p w14:paraId="14E58F3C" w14:textId="77777777" w:rsidR="007A5AEC" w:rsidRPr="009B5CEE" w:rsidRDefault="007A5AEC" w:rsidP="009B5CEE">
      <w:pPr>
        <w:widowControl w:val="0"/>
        <w:autoSpaceDE w:val="0"/>
        <w:autoSpaceDN w:val="0"/>
        <w:adjustRightInd w:val="0"/>
        <w:jc w:val="center"/>
        <w:rPr>
          <w:rFonts w:ascii="DenkOne-Regular" w:hAnsi="DenkOne-Regular" w:cs="DenkOne-Regular"/>
          <w:color w:val="F29108"/>
          <w:sz w:val="28"/>
          <w:szCs w:val="28"/>
        </w:rPr>
      </w:pPr>
    </w:p>
    <w:p w14:paraId="45B4A745" w14:textId="77777777" w:rsidR="009B5CEE" w:rsidRPr="007A5AEC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L'avviso pubblico è a sportello con </w:t>
      </w:r>
      <w:proofErr w:type="gramStart"/>
      <w:r w:rsidRPr="007A5AEC">
        <w:rPr>
          <w:rFonts w:ascii="OpenSans" w:hAnsi="OpenSans" w:cs="OpenSans"/>
          <w:color w:val="313132"/>
          <w:sz w:val="28"/>
          <w:szCs w:val="28"/>
        </w:rPr>
        <w:t xml:space="preserve">una dotazione </w:t>
      </w:r>
      <w:proofErr w:type="spellStart"/>
      <w:r w:rsidRPr="007A5AEC">
        <w:rPr>
          <w:rFonts w:ascii="OpenSans" w:hAnsi="OpenSans" w:cs="OpenSans"/>
          <w:color w:val="313132"/>
          <w:sz w:val="28"/>
          <w:szCs w:val="28"/>
        </w:rPr>
        <w:t>ﬁnanziaria</w:t>
      </w:r>
      <w:proofErr w:type="spell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pari</w:t>
      </w:r>
      <w:proofErr w:type="gram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a </w:t>
      </w:r>
      <w:r w:rsidRPr="007A5AEC">
        <w:rPr>
          <w:rFonts w:ascii="OpenSans-Bold" w:hAnsi="OpenSans-Bold" w:cs="OpenSans-Bold"/>
          <w:b/>
          <w:bCs/>
          <w:color w:val="313132"/>
          <w:sz w:val="28"/>
          <w:szCs w:val="28"/>
        </w:rPr>
        <w:t>10 milioni di euro</w:t>
      </w:r>
      <w:r w:rsidRPr="007A5AEC">
        <w:rPr>
          <w:rFonts w:ascii="OpenSans" w:hAnsi="OpenSans" w:cs="OpenSans"/>
          <w:color w:val="313132"/>
          <w:sz w:val="28"/>
          <w:szCs w:val="28"/>
        </w:rPr>
        <w:t xml:space="preserve">, di cui 8 dedicati al </w:t>
      </w:r>
      <w:proofErr w:type="spellStart"/>
      <w:r w:rsidRPr="007A5AEC">
        <w:rPr>
          <w:rFonts w:ascii="OpenSans" w:hAnsi="OpenSans" w:cs="OpenSans"/>
          <w:color w:val="313132"/>
          <w:sz w:val="28"/>
          <w:szCs w:val="28"/>
        </w:rPr>
        <w:t>ﬁnanziamento</w:t>
      </w:r>
      <w:proofErr w:type="spell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a fondo perduto di progetti e 2 milioni ai servizi di affiancamento e rafforzamento delle competenze dei partecipanti.</w:t>
      </w:r>
    </w:p>
    <w:p w14:paraId="3E81E96E" w14:textId="457B92EA" w:rsidR="009B5CEE" w:rsidRPr="007A5AEC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Ciascun progetto può ottenere un finanziamento </w:t>
      </w:r>
      <w:proofErr w:type="gramStart"/>
      <w:r w:rsidR="006B4500">
        <w:rPr>
          <w:rFonts w:ascii="OpenSans" w:hAnsi="OpenSans" w:cs="OpenSans"/>
          <w:color w:val="313132"/>
          <w:sz w:val="28"/>
          <w:szCs w:val="28"/>
        </w:rPr>
        <w:t>compreso tra 10.000</w:t>
      </w:r>
      <w:proofErr w:type="gramEnd"/>
      <w:r w:rsidR="006B4500">
        <w:rPr>
          <w:rFonts w:ascii="OpenSans" w:hAnsi="OpenSans" w:cs="OpenSans"/>
          <w:color w:val="313132"/>
          <w:sz w:val="28"/>
          <w:szCs w:val="28"/>
        </w:rPr>
        <w:t xml:space="preserve"> e 30.000€</w:t>
      </w:r>
      <w:r w:rsidRPr="007A5AEC">
        <w:rPr>
          <w:rFonts w:ascii="OpenSans" w:hAnsi="OpenSans" w:cs="OpenSans"/>
          <w:color w:val="313132"/>
          <w:sz w:val="28"/>
          <w:szCs w:val="28"/>
        </w:rPr>
        <w:t xml:space="preserve"> a copertura delle spese di gestione e degli investimenti del primo anno e una serie di servizi di supporto co-progettati con gli stessi beneficiari.</w:t>
      </w:r>
    </w:p>
    <w:p w14:paraId="64F5A589" w14:textId="46BF0AF9" w:rsidR="006B4500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L'accesso a PIN è interamente online attraverso la piattaforma prossimamente disponibile all'indirizzo </w:t>
      </w:r>
      <w:proofErr w:type="gramStart"/>
      <w:r w:rsidR="006B4500">
        <w:rPr>
          <w:rFonts w:ascii="OpenSans" w:hAnsi="OpenSans" w:cs="OpenSans"/>
          <w:color w:val="313132"/>
          <w:sz w:val="28"/>
          <w:szCs w:val="28"/>
        </w:rPr>
        <w:t>www.pingiovani.regione.puglia.it</w:t>
      </w:r>
      <w:proofErr w:type="gramEnd"/>
    </w:p>
    <w:p w14:paraId="18E4FD93" w14:textId="72768CBC" w:rsidR="009B5CEE" w:rsidRPr="007A5AEC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I progetti dovranno essere presentati compilando il </w:t>
      </w:r>
      <w:r w:rsidRPr="007A5AEC">
        <w:rPr>
          <w:rFonts w:ascii="OpenSans-Bold" w:hAnsi="OpenSans-Bold" w:cs="OpenSans-Bold"/>
          <w:b/>
          <w:bCs/>
          <w:color w:val="313132"/>
          <w:sz w:val="28"/>
          <w:szCs w:val="28"/>
        </w:rPr>
        <w:t xml:space="preserve">modello </w:t>
      </w:r>
      <w:proofErr w:type="spellStart"/>
      <w:r w:rsidRPr="007A5AEC">
        <w:rPr>
          <w:rFonts w:ascii="OpenSans-Bold" w:hAnsi="OpenSans-Bold" w:cs="OpenSans-Bold"/>
          <w:b/>
          <w:bCs/>
          <w:color w:val="313132"/>
          <w:sz w:val="28"/>
          <w:szCs w:val="28"/>
        </w:rPr>
        <w:t>Canvas</w:t>
      </w:r>
      <w:proofErr w:type="spellEnd"/>
      <w:r w:rsidRPr="007A5AEC">
        <w:rPr>
          <w:rFonts w:ascii="OpenSans" w:hAnsi="OpenSans" w:cs="OpenSans"/>
          <w:color w:val="313132"/>
          <w:sz w:val="28"/>
          <w:szCs w:val="28"/>
        </w:rPr>
        <w:t xml:space="preserve">, utile a descrivere l'idea imprenditoriale con l'indicazione di </w:t>
      </w:r>
      <w:proofErr w:type="gramStart"/>
      <w:r w:rsidRPr="007A5AEC">
        <w:rPr>
          <w:rFonts w:ascii="OpenSans" w:hAnsi="OpenSans" w:cs="OpenSans"/>
          <w:color w:val="313132"/>
          <w:sz w:val="28"/>
          <w:szCs w:val="28"/>
        </w:rPr>
        <w:t>azioni, risorse e soggetti chiave</w:t>
      </w:r>
      <w:proofErr w:type="gramEnd"/>
      <w:r w:rsidRPr="007A5AEC">
        <w:rPr>
          <w:rFonts w:ascii="OpenSans" w:hAnsi="OpenSans" w:cs="OpenSans"/>
          <w:color w:val="313132"/>
          <w:sz w:val="28"/>
          <w:szCs w:val="28"/>
        </w:rPr>
        <w:t>.</w:t>
      </w:r>
    </w:p>
    <w:p w14:paraId="23E0B75D" w14:textId="77777777" w:rsidR="009B5CEE" w:rsidRPr="007A5AEC" w:rsidRDefault="009B5CEE" w:rsidP="009B5CEE">
      <w:pPr>
        <w:widowControl w:val="0"/>
        <w:autoSpaceDE w:val="0"/>
        <w:autoSpaceDN w:val="0"/>
        <w:adjustRightInd w:val="0"/>
        <w:jc w:val="both"/>
        <w:rPr>
          <w:rFonts w:ascii="OpenSans" w:hAnsi="OpenSans" w:cs="OpenSans"/>
          <w:color w:val="313132"/>
          <w:sz w:val="28"/>
          <w:szCs w:val="28"/>
        </w:rPr>
      </w:pPr>
      <w:r w:rsidRPr="007A5AEC">
        <w:rPr>
          <w:rFonts w:ascii="OpenSans" w:hAnsi="OpenSans" w:cs="OpenSans"/>
          <w:color w:val="313132"/>
          <w:sz w:val="28"/>
          <w:szCs w:val="28"/>
        </w:rPr>
        <w:t xml:space="preserve">La presentazione delle candidature sarà possibile </w:t>
      </w:r>
      <w:proofErr w:type="gramStart"/>
      <w:r w:rsidRPr="007A5AEC">
        <w:rPr>
          <w:rFonts w:ascii="OpenSans" w:hAnsi="OpenSans" w:cs="OpenSans"/>
          <w:color w:val="313132"/>
          <w:sz w:val="28"/>
          <w:szCs w:val="28"/>
        </w:rPr>
        <w:t>a partire dal</w:t>
      </w:r>
      <w:proofErr w:type="gramEnd"/>
      <w:r w:rsidRPr="007A5AEC">
        <w:rPr>
          <w:rFonts w:ascii="OpenSans" w:hAnsi="OpenSans" w:cs="OpenSans"/>
          <w:color w:val="313132"/>
          <w:sz w:val="28"/>
          <w:szCs w:val="28"/>
        </w:rPr>
        <w:t xml:space="preserve"> </w:t>
      </w:r>
      <w:bookmarkStart w:id="0" w:name="_GoBack"/>
      <w:r w:rsidRPr="006B4500">
        <w:rPr>
          <w:rFonts w:ascii="OpenSans" w:hAnsi="OpenSans" w:cs="OpenSans"/>
          <w:b/>
          <w:color w:val="313132"/>
          <w:sz w:val="28"/>
          <w:szCs w:val="28"/>
        </w:rPr>
        <w:t>01/09/2016</w:t>
      </w:r>
      <w:r w:rsidRPr="007A5AEC">
        <w:rPr>
          <w:rFonts w:ascii="OpenSans" w:hAnsi="OpenSans" w:cs="OpenSans"/>
          <w:color w:val="313132"/>
          <w:sz w:val="28"/>
          <w:szCs w:val="28"/>
        </w:rPr>
        <w:t xml:space="preserve"> </w:t>
      </w:r>
      <w:bookmarkEnd w:id="0"/>
      <w:r w:rsidRPr="007A5AEC">
        <w:rPr>
          <w:rFonts w:ascii="OpenSans" w:hAnsi="OpenSans" w:cs="OpenSans"/>
          <w:color w:val="313132"/>
          <w:sz w:val="28"/>
          <w:szCs w:val="28"/>
        </w:rPr>
        <w:t>e fino ad esaurimento delle risorse disponibili.</w:t>
      </w:r>
    </w:p>
    <w:p w14:paraId="7EE71EC8" w14:textId="77777777" w:rsidR="009B5CEE" w:rsidRPr="007A5AEC" w:rsidRDefault="009B5CEE" w:rsidP="009B5CEE">
      <w:pPr>
        <w:jc w:val="both"/>
        <w:rPr>
          <w:sz w:val="28"/>
          <w:szCs w:val="28"/>
        </w:rPr>
      </w:pPr>
    </w:p>
    <w:p w14:paraId="0394E11C" w14:textId="77777777" w:rsidR="009B5CEE" w:rsidRPr="007A5AEC" w:rsidRDefault="009B5CEE" w:rsidP="009B5CEE">
      <w:pPr>
        <w:jc w:val="center"/>
        <w:rPr>
          <w:rFonts w:ascii="DenkOne-Regular" w:hAnsi="DenkOne-Regular" w:cs="DenkOne-Regular"/>
          <w:color w:val="F29108"/>
          <w:sz w:val="36"/>
          <w:szCs w:val="36"/>
        </w:rPr>
      </w:pPr>
      <w:proofErr w:type="gramStart"/>
      <w:r w:rsidRPr="007A5AEC">
        <w:rPr>
          <w:rFonts w:ascii="DenkOne-Regular" w:hAnsi="DenkOne-Regular" w:cs="DenkOne-Regular"/>
          <w:color w:val="F29108"/>
          <w:sz w:val="36"/>
          <w:szCs w:val="36"/>
        </w:rPr>
        <w:t>Link</w:t>
      </w:r>
      <w:proofErr w:type="gramEnd"/>
      <w:r w:rsidRPr="007A5AEC">
        <w:rPr>
          <w:rFonts w:ascii="DenkOne-Regular" w:hAnsi="DenkOne-Regular" w:cs="DenkOne-Regular"/>
          <w:color w:val="F29108"/>
          <w:sz w:val="36"/>
          <w:szCs w:val="36"/>
        </w:rPr>
        <w:t xml:space="preserve"> utili</w:t>
      </w:r>
    </w:p>
    <w:p w14:paraId="018CABCB" w14:textId="77777777" w:rsidR="007A5AEC" w:rsidRPr="009B5CEE" w:rsidRDefault="007A5AEC" w:rsidP="009B5CEE">
      <w:pPr>
        <w:jc w:val="center"/>
        <w:rPr>
          <w:sz w:val="28"/>
          <w:szCs w:val="28"/>
        </w:rPr>
      </w:pPr>
    </w:p>
    <w:p w14:paraId="06BD45E0" w14:textId="2A14BFB6" w:rsidR="007A5AEC" w:rsidRPr="009B5CEE" w:rsidRDefault="00C4442E" w:rsidP="009B5CEE">
      <w:pPr>
        <w:jc w:val="both"/>
      </w:pPr>
      <w:hyperlink r:id="rId6" w:history="1">
        <w:r w:rsidRPr="0072470D">
          <w:rPr>
            <w:rStyle w:val="Collegamentoipertestuale"/>
          </w:rPr>
          <w:t>www.pingiovani.regione.p</w:t>
        </w:r>
        <w:r w:rsidRPr="0072470D">
          <w:rPr>
            <w:rStyle w:val="Collegamentoipertestuale"/>
          </w:rPr>
          <w:t>u</w:t>
        </w:r>
        <w:r w:rsidRPr="0072470D">
          <w:rPr>
            <w:rStyle w:val="Collegamentoipertestuale"/>
          </w:rPr>
          <w:t>glia.it</w:t>
        </w:r>
      </w:hyperlink>
    </w:p>
    <w:sectPr w:rsidR="007A5AEC" w:rsidRPr="009B5CEE" w:rsidSect="006068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nkOne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E"/>
    <w:rsid w:val="006068B2"/>
    <w:rsid w:val="006B4500"/>
    <w:rsid w:val="007A5AEC"/>
    <w:rsid w:val="009B5CEE"/>
    <w:rsid w:val="009E2C2D"/>
    <w:rsid w:val="00C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197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E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5AE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A5AE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A5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E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5AE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A5AE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A5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ingiovani.regione.pugli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1285</Characters>
  <Application>Microsoft Macintosh Word</Application>
  <DocSecurity>0</DocSecurity>
  <Lines>10</Lines>
  <Paragraphs>3</Paragraphs>
  <ScaleCrop>false</ScaleCrop>
  <Company>Casa Amata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Rosa  Mercutello</dc:creator>
  <cp:keywords/>
  <dc:description/>
  <cp:lastModifiedBy>Anna Rosa  Mercutello</cp:lastModifiedBy>
  <cp:revision>4</cp:revision>
  <dcterms:created xsi:type="dcterms:W3CDTF">2016-07-06T11:00:00Z</dcterms:created>
  <dcterms:modified xsi:type="dcterms:W3CDTF">2016-07-07T07:34:00Z</dcterms:modified>
</cp:coreProperties>
</file>